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F8" w:rsidRDefault="004A62F8">
      <w:pPr>
        <w:spacing w:before="256" w:line="230" w:lineRule="auto"/>
        <w:ind w:left="1993" w:right="1528"/>
        <w:jc w:val="center"/>
        <w:rPr>
          <w:rFonts w:ascii="Franklin Gothic Demi"/>
          <w:color w:val="A30A35"/>
          <w:sz w:val="48"/>
        </w:rPr>
      </w:pPr>
      <w:r>
        <w:rPr>
          <w:rFonts w:ascii="Franklin Gothic Demi"/>
          <w:noProof/>
          <w:color w:val="A30A35"/>
          <w:sz w:val="48"/>
        </w:rPr>
        <w:drawing>
          <wp:inline distT="0" distB="0" distL="0" distR="0">
            <wp:extent cx="2612201" cy="849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55" cy="8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42" w:rsidRPr="004A62F8" w:rsidRDefault="004A62F8">
      <w:pPr>
        <w:spacing w:before="256" w:line="230" w:lineRule="auto"/>
        <w:ind w:left="1993" w:right="1528"/>
        <w:jc w:val="center"/>
        <w:rPr>
          <w:rFonts w:ascii="Franklin Gothic Demi"/>
          <w:sz w:val="32"/>
        </w:rPr>
      </w:pPr>
      <w:r w:rsidRPr="004A62F8">
        <w:rPr>
          <w:rFonts w:ascii="Franklin Gothic Demi"/>
          <w:color w:val="A30A35"/>
          <w:sz w:val="32"/>
        </w:rPr>
        <w:t>Seven Strategies for Community Change</w:t>
      </w:r>
    </w:p>
    <w:p w:rsidR="00257042" w:rsidRDefault="00257042">
      <w:pPr>
        <w:pStyle w:val="BodyText"/>
        <w:spacing w:before="4"/>
        <w:ind w:firstLine="0"/>
        <w:rPr>
          <w:rFonts w:ascii="Franklin Gothic Demi"/>
          <w:sz w:val="49"/>
        </w:rPr>
      </w:pPr>
      <w:bookmarkStart w:id="0" w:name="_GoBack"/>
      <w:bookmarkEnd w:id="0"/>
    </w:p>
    <w:p w:rsidR="00257042" w:rsidRDefault="004A62F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466"/>
        <w:rPr>
          <w:sz w:val="24"/>
        </w:rPr>
      </w:pPr>
      <w:r>
        <w:rPr>
          <w:color w:val="231F20"/>
          <w:sz w:val="24"/>
        </w:rPr>
        <w:t>Providing Information – Educational presentations, workshops or seminars or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other presentations of data (e.g., public announcements, brochures, dissemination, billboards, community meetings, forums, web-based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communication).</w:t>
      </w:r>
    </w:p>
    <w:p w:rsidR="00257042" w:rsidRDefault="00257042">
      <w:pPr>
        <w:pStyle w:val="BodyText"/>
        <w:spacing w:before="3"/>
        <w:ind w:firstLine="0"/>
        <w:rPr>
          <w:sz w:val="25"/>
        </w:rPr>
      </w:pPr>
    </w:p>
    <w:p w:rsidR="00257042" w:rsidRDefault="004A62F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140"/>
        <w:rPr>
          <w:sz w:val="24"/>
        </w:rPr>
      </w:pPr>
      <w:r>
        <w:rPr>
          <w:color w:val="231F20"/>
          <w:sz w:val="24"/>
        </w:rPr>
        <w:t xml:space="preserve">Enhancing Skills – Workshops, seminars or other activities designed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>increase the skills of participants</w:t>
      </w:r>
      <w:r>
        <w:rPr>
          <w:color w:val="231F20"/>
          <w:sz w:val="24"/>
        </w:rPr>
        <w:t xml:space="preserve">, members and staff needed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>achieve population level outcomes (e.g., training, technical assistance, distance learning, strategic planning retreats, curricula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development).</w:t>
      </w:r>
    </w:p>
    <w:p w:rsidR="00257042" w:rsidRDefault="00257042">
      <w:pPr>
        <w:pStyle w:val="BodyText"/>
        <w:spacing w:before="3"/>
        <w:ind w:firstLine="0"/>
        <w:rPr>
          <w:sz w:val="25"/>
        </w:rPr>
      </w:pPr>
    </w:p>
    <w:p w:rsidR="00257042" w:rsidRDefault="004A62F8">
      <w:pPr>
        <w:pStyle w:val="ListParagraph"/>
        <w:numPr>
          <w:ilvl w:val="0"/>
          <w:numId w:val="1"/>
        </w:numPr>
        <w:tabs>
          <w:tab w:val="left" w:pos="820"/>
        </w:tabs>
        <w:spacing w:line="254" w:lineRule="auto"/>
        <w:ind w:right="109"/>
        <w:jc w:val="both"/>
        <w:rPr>
          <w:sz w:val="24"/>
        </w:rPr>
      </w:pPr>
      <w:r>
        <w:rPr>
          <w:color w:val="231F20"/>
          <w:sz w:val="24"/>
        </w:rPr>
        <w:t xml:space="preserve">Providing Support – Creating opportunities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 xml:space="preserve">support people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>participate in a</w:t>
      </w:r>
      <w:r>
        <w:rPr>
          <w:color w:val="231F20"/>
          <w:sz w:val="24"/>
        </w:rPr>
        <w:t>ctivities that reduce risk or enhance protection (e.g., providing alternative activities, mentoring, referrals, support groups 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clubs).</w:t>
      </w:r>
    </w:p>
    <w:p w:rsidR="00257042" w:rsidRDefault="00257042">
      <w:pPr>
        <w:pStyle w:val="BodyText"/>
        <w:spacing w:before="3"/>
        <w:ind w:firstLine="0"/>
        <w:rPr>
          <w:sz w:val="25"/>
        </w:rPr>
      </w:pPr>
    </w:p>
    <w:p w:rsidR="00257042" w:rsidRDefault="004A62F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rPr>
          <w:sz w:val="24"/>
        </w:rPr>
      </w:pPr>
      <w:r>
        <w:rPr>
          <w:color w:val="231F20"/>
          <w:sz w:val="24"/>
        </w:rPr>
        <w:t xml:space="preserve">Enhancing Access/Reducing Barriers- Improving systems and processes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 xml:space="preserve">increase the ease, ability and opportunity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 xml:space="preserve">utilize those systems and services (e.g., assuring healthcare, childcare, transportation, housing, justice, education, </w:t>
      </w:r>
      <w:r>
        <w:rPr>
          <w:color w:val="231F20"/>
          <w:spacing w:val="-3"/>
          <w:sz w:val="24"/>
        </w:rPr>
        <w:t xml:space="preserve">safety, </w:t>
      </w:r>
      <w:r>
        <w:rPr>
          <w:color w:val="231F20"/>
          <w:sz w:val="24"/>
        </w:rPr>
        <w:t>special needs, cultural and language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sensitivity).</w:t>
      </w:r>
    </w:p>
    <w:p w:rsidR="00257042" w:rsidRDefault="00257042">
      <w:pPr>
        <w:pStyle w:val="BodyText"/>
        <w:spacing w:before="3"/>
        <w:ind w:firstLine="0"/>
        <w:rPr>
          <w:sz w:val="25"/>
        </w:rPr>
      </w:pPr>
    </w:p>
    <w:p w:rsidR="00257042" w:rsidRDefault="004A62F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274"/>
        <w:rPr>
          <w:sz w:val="24"/>
        </w:rPr>
      </w:pPr>
      <w:r>
        <w:rPr>
          <w:color w:val="231F20"/>
          <w:sz w:val="24"/>
        </w:rPr>
        <w:t>Changing Consequences (Incentives/Disincentives) – Increasing or decreasing t</w:t>
      </w:r>
      <w:r>
        <w:rPr>
          <w:color w:val="231F20"/>
          <w:sz w:val="24"/>
        </w:rPr>
        <w:t>he probability of a specific behavior that reduces risk or enhances protection by altering the consequences for performing that behavior (e.g., increasing public recognition for deserved behavior, individual and business rewards, taxes, citations, fines, r</w:t>
      </w:r>
      <w:r>
        <w:rPr>
          <w:color w:val="231F20"/>
          <w:sz w:val="24"/>
        </w:rPr>
        <w:t>evocations/loss of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privileges).</w:t>
      </w:r>
    </w:p>
    <w:p w:rsidR="00257042" w:rsidRDefault="00257042">
      <w:pPr>
        <w:pStyle w:val="BodyText"/>
        <w:spacing w:before="2"/>
        <w:ind w:firstLine="0"/>
        <w:rPr>
          <w:sz w:val="25"/>
        </w:rPr>
      </w:pPr>
    </w:p>
    <w:p w:rsidR="00257042" w:rsidRDefault="004A62F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54" w:lineRule="auto"/>
        <w:ind w:right="623"/>
        <w:rPr>
          <w:sz w:val="24"/>
        </w:rPr>
      </w:pPr>
      <w:r>
        <w:rPr>
          <w:color w:val="231F20"/>
          <w:sz w:val="24"/>
        </w:rPr>
        <w:t>Physical Design – Changing the physical design or structure of the environment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 xml:space="preserve">reduce risk or enhance protection (e.g., parks, landscapes, signage, lighting, </w:t>
      </w:r>
      <w:proofErr w:type="gramStart"/>
      <w:r>
        <w:rPr>
          <w:color w:val="231F20"/>
          <w:sz w:val="24"/>
        </w:rPr>
        <w:t>outlet</w:t>
      </w:r>
      <w:proofErr w:type="gram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density).</w:t>
      </w:r>
    </w:p>
    <w:p w:rsidR="00257042" w:rsidRDefault="00257042">
      <w:pPr>
        <w:pStyle w:val="BodyText"/>
        <w:spacing w:before="3"/>
        <w:ind w:firstLine="0"/>
        <w:rPr>
          <w:sz w:val="25"/>
        </w:rPr>
      </w:pPr>
    </w:p>
    <w:p w:rsidR="00257042" w:rsidRDefault="004A62F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455"/>
        <w:rPr>
          <w:sz w:val="24"/>
        </w:rPr>
      </w:pPr>
      <w:r>
        <w:rPr>
          <w:color w:val="231F20"/>
          <w:sz w:val="24"/>
        </w:rPr>
        <w:t>Modifying/Changing Policies – Formal change in written procedures, by-laws, proclamations, rules or laws with written documentation and/or voting procedures (e.g., workplace initiatives, law enforcement procedures and practices, public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policy actions, syst</w:t>
      </w:r>
      <w:r>
        <w:rPr>
          <w:color w:val="231F20"/>
          <w:sz w:val="24"/>
        </w:rPr>
        <w:t>ems change within government, communities 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organizations).</w:t>
      </w:r>
    </w:p>
    <w:sectPr w:rsidR="00257042">
      <w:type w:val="continuous"/>
      <w:pgSz w:w="12240" w:h="15840"/>
      <w:pgMar w:top="128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4FD"/>
    <w:multiLevelType w:val="hybridMultilevel"/>
    <w:tmpl w:val="38E617BE"/>
    <w:lvl w:ilvl="0" w:tplc="21E6DC6E">
      <w:start w:val="1"/>
      <w:numFmt w:val="decimal"/>
      <w:lvlText w:val="%1."/>
      <w:lvlJc w:val="left"/>
      <w:pPr>
        <w:ind w:left="820" w:hanging="720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3"/>
        <w:w w:val="100"/>
        <w:sz w:val="24"/>
        <w:szCs w:val="24"/>
      </w:rPr>
    </w:lvl>
    <w:lvl w:ilvl="1" w:tplc="F7620376">
      <w:numFmt w:val="bullet"/>
      <w:lvlText w:val="•"/>
      <w:lvlJc w:val="left"/>
      <w:pPr>
        <w:ind w:left="1720" w:hanging="720"/>
      </w:pPr>
      <w:rPr>
        <w:rFonts w:hint="default"/>
      </w:rPr>
    </w:lvl>
    <w:lvl w:ilvl="2" w:tplc="329E39C4">
      <w:numFmt w:val="bullet"/>
      <w:lvlText w:val="•"/>
      <w:lvlJc w:val="left"/>
      <w:pPr>
        <w:ind w:left="2620" w:hanging="720"/>
      </w:pPr>
      <w:rPr>
        <w:rFonts w:hint="default"/>
      </w:rPr>
    </w:lvl>
    <w:lvl w:ilvl="3" w:tplc="5FC48048">
      <w:numFmt w:val="bullet"/>
      <w:lvlText w:val="•"/>
      <w:lvlJc w:val="left"/>
      <w:pPr>
        <w:ind w:left="3520" w:hanging="720"/>
      </w:pPr>
      <w:rPr>
        <w:rFonts w:hint="default"/>
      </w:rPr>
    </w:lvl>
    <w:lvl w:ilvl="4" w:tplc="E7067C9A">
      <w:numFmt w:val="bullet"/>
      <w:lvlText w:val="•"/>
      <w:lvlJc w:val="left"/>
      <w:pPr>
        <w:ind w:left="4420" w:hanging="720"/>
      </w:pPr>
      <w:rPr>
        <w:rFonts w:hint="default"/>
      </w:rPr>
    </w:lvl>
    <w:lvl w:ilvl="5" w:tplc="BE16E810">
      <w:numFmt w:val="bullet"/>
      <w:lvlText w:val="•"/>
      <w:lvlJc w:val="left"/>
      <w:pPr>
        <w:ind w:left="5320" w:hanging="720"/>
      </w:pPr>
      <w:rPr>
        <w:rFonts w:hint="default"/>
      </w:rPr>
    </w:lvl>
    <w:lvl w:ilvl="6" w:tplc="3A2ADA04"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7756A5C8">
      <w:numFmt w:val="bullet"/>
      <w:lvlText w:val="•"/>
      <w:lvlJc w:val="left"/>
      <w:pPr>
        <w:ind w:left="7120" w:hanging="720"/>
      </w:pPr>
      <w:rPr>
        <w:rFonts w:hint="default"/>
      </w:rPr>
    </w:lvl>
    <w:lvl w:ilvl="8" w:tplc="8390B538">
      <w:numFmt w:val="bullet"/>
      <w:lvlText w:val="•"/>
      <w:lvlJc w:val="left"/>
      <w:pPr>
        <w:ind w:left="80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2"/>
    <w:rsid w:val="00257042"/>
    <w:rsid w:val="004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D371F-76F4-4D3F-AC59-447C2E8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SevenStrategies4CommunityChange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SevenStrategies4CommunityChange</dc:title>
  <dc:creator>sstine</dc:creator>
  <cp:keywords>Strategies, National Coalition Institute, CADCA, Community Change, Coalitions</cp:keywords>
  <cp:lastModifiedBy>Kimberly Ladd</cp:lastModifiedBy>
  <cp:revision>2</cp:revision>
  <dcterms:created xsi:type="dcterms:W3CDTF">2019-06-15T17:24:00Z</dcterms:created>
  <dcterms:modified xsi:type="dcterms:W3CDTF">2019-06-15T17:24:00Z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2019-06-15T00:00:00Z</vt:filetime>
  </property>
</Properties>
</file>